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с уровнями агрегирования и сроками, не предусмотренными Федеральным планом статистических работ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Информации по грузоперевозкам и грузообороту автомобильного транспорта необходима с ежемесячной периодичностью В п. 1.24.1 ФПСР информация по субъектам РФ - квартально, по РФ - ежемесячно</w:t>
      </w:r>
    </w:p>
    <w:p>
      <w:pPr>
        <w:rPr/>
      </w:pPr>
      <w:r>
        <w:rPr/>
        <w:t xml:space="preserve">Ответ: Оперативные данные формы № П-1 «Сведения о производстве и отгрузке товарови услуг» и данные годовой разработки по форме № 1-ТР (автотранспорт) «Сведения о грузовом автотранспорте и протяженности автодорог необщего пользования» размещаются Росстатом в статистических материалах «Информация для ведения мониторинга социально-экономического положения субъектов Российской Федерации», «Социально-экономическое положение федеральных округов», официальных публикациях (сборник «Транспорт» в России») и в ЕМИСС.  На федеральном уровне по Российской Федерации ежемесячно публикуются данные с учетом оценки перевозочной деятельности, ненаблюдаемой прямыми статистическими методами, на региональном уровне досчет до полного круга хозяйствующих субъектов  не выполняется в связи с отсутствием необходимой информации. Официальная статистическая методология формирования официальной статистической информации об общем объеме коммерческой перевозочной деятельности грузового автомобильного транспорта, актуализированная приказом Росстата от 31.12.2020 № 874, предусматривает разработку данных об объеме грузовых перевозок и грузообороте автомобильного транспорта по субъектам Российской Федерации с месячной периодичностью. Их публикация будет возможна после утверждения соответствующих изменений в позицию 1.24.1 Федерального плана статистических работ.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 перевозочной деятельности водного, железнодорожного и электрического городского транспорта по субъектам Российской Федерации</w:t>
      </w:r>
    </w:p>
    <w:p>
      <w:pPr>
        <w:rPr/>
      </w:pPr>
      <w:r>
        <w:rPr/>
        <w:t xml:space="preserve">Ответ: Формирование официальной статистической информации о перевозочной деятельности на всех видах транспорта, за исключением автомобильного,  осуществляется в целом по Российской Федерации. Это связано с экстерриториальным характером деятельности транспорта, при котором территории, на которых осуществляется перевозочная деятельность, не совпадают с границами субъектов Российской Федерации,   а также с необходимостью обеспечения конфиденциальности первичных статистических данных, т.к. количество отчитывающихся респондентов по всем видам транспорта, за исключением автомобильного, в субъекте Российской Федерации, как правило, не превышает трех.                                                                                                                                                              Данные  об отправлении и прибытии грузов,  отправлении пассажиров железнодорожным транспортом общего пользования с распределением по субъектам Российской Федерации   размещены на интернет-сайте Росстата. Данные о грузообороте и пассажирообороте  по субъектам Российской Федерации не рассчитываются.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Отсутствие информации о перевозках грузов и пассажиров по субъектам РФ (в т.ч. В районах Крайнего Севера) всеми видами транспорта</w:t>
      </w:r>
    </w:p>
    <w:p>
      <w:pPr>
        <w:rPr/>
      </w:pPr>
      <w:r>
        <w:rPr/>
        <w:t xml:space="preserve">Ответ: Формирование официальной статистической информации об объемах перевозок грузов и пассажиров на всех видах транспорта, за исключением автомобильного, осуществляется в целом по Российской Федерации. Это связано с экстерриториальным характером деятельности транспорта, при котором территории, на которых осуществляется перевозочная деятельность, не совпадают с границами субъектов Российской Федерации, а также с необходимостью обеспечения конфиденциальности первичных статистических данных, т.к. количество респондентов по всем видам транспорта, за исключением автомобильного, в субъекте Российской Федерации, как правило, не превышает трех. В соответствии с Федеральным планом статистических работ  субъектом официального статистического учета, осуществляющим формирование официальной статистической информации о перевозке грузов в районы Крайнего Севера и приравненные к ним местности с ограниченными сроками завоза грузов (продукции) на водном транспорте является Росморречфлот (п. 35).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Согласно Указаниям Росстата от 16.01.2015г. №11-11-5/48-ТО и Приказа Росстата № 887 от 29.12.2017 г. информация по перевозочной деятельности водного транспорта по субъектам Российской Федерации носит конфиденциальный характер и размещается на сайте Росстата в целом по Российской Федерации. Так как водный транспорт занимает значительное место в регионе, просим рассмотреть возможность открытия ежемесячной статотчетности о перевозочной деятельности внутреннего водного транспорта по субъекту в целом</w:t>
      </w:r>
    </w:p>
    <w:p>
      <w:pPr>
        <w:rPr/>
      </w:pPr>
      <w:r>
        <w:rPr/>
        <w:t xml:space="preserve">Ответ: Росстат обеспечивает предоставление сводных (агрегированных) статистических данных в разрезе территориальных образований, исключающих косвенную идентификацию хозяйствующих субъектов. В большинстве субъектов Российской Федерации на внутреннем водном транспорте осуществляют деятельность от 1 до 6 организаций, а с учетом сезонности количество организаций сокращается до 3.   Если в субъекте Российской Федерации количество респондентов, предоставивших данные по показателю за отчетный период, более трех и доля каждого из них менее 85 процентов в сводных (агрегированных) данных, то возможно предоставление информации по показателю с примечанием, что она приведена по организациям, зарегистрированным в субъекте Российской Федерации.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Методология формирования показателей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Порядок пересчета официальной статистической информации по грузоперевозкам и грузообороту автомобильного транспорта</w:t>
      </w:r>
    </w:p>
    <w:p>
      <w:pPr>
        <w:rPr/>
      </w:pPr>
      <w:r>
        <w:rPr/>
        <w:t xml:space="preserve">Ответ: Порядок и сроки корректировки информации об объеме перевозок грузов и грузообороте автомобильного транспорта определен в официальной статистической методологии формирования официальной статистической информации об общем объеме коммерческой перевозочной деятельности грузового автомобильного транспорта, утвержденной приказом Росстата от 31.12.2020 № 874.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в разрезе муниципальных образований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Показатели работы транспорта в разрезе муниципальных образований</w:t>
      </w:r>
    </w:p>
    <w:p>
      <w:pPr>
        <w:rPr/>
      </w:pPr>
      <w:r>
        <w:rPr/>
        <w:t xml:space="preserve">Ответ: Разработка официальной статистической информации о показателях работы транспорта в разрезе муниципальных образований ФПСР не предусмотренав связи с экстерриториальностью деятельности организаций транспорта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761190">
    <w:multiLevelType w:val="hybridMultilevel"/>
    <w:lvl w:ilvl="0" w:tplc="20641942">
      <w:start w:val="1"/>
      <w:numFmt w:val="decimal"/>
      <w:lvlText w:val="%1."/>
      <w:lvlJc w:val="left"/>
      <w:pPr>
        <w:ind w:left="720" w:hanging="360"/>
      </w:pPr>
    </w:lvl>
    <w:lvl w:ilvl="1" w:tplc="20641942" w:tentative="1">
      <w:start w:val="1"/>
      <w:numFmt w:val="lowerLetter"/>
      <w:lvlText w:val="%2."/>
      <w:lvlJc w:val="left"/>
      <w:pPr>
        <w:ind w:left="1440" w:hanging="360"/>
      </w:pPr>
    </w:lvl>
    <w:lvl w:ilvl="2" w:tplc="20641942" w:tentative="1">
      <w:start w:val="1"/>
      <w:numFmt w:val="lowerRoman"/>
      <w:lvlText w:val="%3."/>
      <w:lvlJc w:val="right"/>
      <w:pPr>
        <w:ind w:left="2160" w:hanging="180"/>
      </w:pPr>
    </w:lvl>
    <w:lvl w:ilvl="3" w:tplc="20641942" w:tentative="1">
      <w:start w:val="1"/>
      <w:numFmt w:val="decimal"/>
      <w:lvlText w:val="%4."/>
      <w:lvlJc w:val="left"/>
      <w:pPr>
        <w:ind w:left="2880" w:hanging="360"/>
      </w:pPr>
    </w:lvl>
    <w:lvl w:ilvl="4" w:tplc="20641942" w:tentative="1">
      <w:start w:val="1"/>
      <w:numFmt w:val="lowerLetter"/>
      <w:lvlText w:val="%5."/>
      <w:lvlJc w:val="left"/>
      <w:pPr>
        <w:ind w:left="3600" w:hanging="360"/>
      </w:pPr>
    </w:lvl>
    <w:lvl w:ilvl="5" w:tplc="20641942" w:tentative="1">
      <w:start w:val="1"/>
      <w:numFmt w:val="lowerRoman"/>
      <w:lvlText w:val="%6."/>
      <w:lvlJc w:val="right"/>
      <w:pPr>
        <w:ind w:left="4320" w:hanging="180"/>
      </w:pPr>
    </w:lvl>
    <w:lvl w:ilvl="6" w:tplc="20641942" w:tentative="1">
      <w:start w:val="1"/>
      <w:numFmt w:val="decimal"/>
      <w:lvlText w:val="%7."/>
      <w:lvlJc w:val="left"/>
      <w:pPr>
        <w:ind w:left="5040" w:hanging="360"/>
      </w:pPr>
    </w:lvl>
    <w:lvl w:ilvl="7" w:tplc="20641942" w:tentative="1">
      <w:start w:val="1"/>
      <w:numFmt w:val="lowerLetter"/>
      <w:lvlText w:val="%8."/>
      <w:lvlJc w:val="left"/>
      <w:pPr>
        <w:ind w:left="5760" w:hanging="360"/>
      </w:pPr>
    </w:lvl>
    <w:lvl w:ilvl="8" w:tplc="20641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61189">
    <w:multiLevelType w:val="hybridMultilevel"/>
    <w:lvl w:ilvl="0" w:tplc="5247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761189">
    <w:abstractNumId w:val="39761189"/>
  </w:num>
  <w:num w:numId="39761190">
    <w:abstractNumId w:val="397611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