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Методология учета построенных индивидуальных жилых домов в части увеличения площади после реконструкции объекта жилищного строительства</w:t>
      </w:r>
    </w:p>
    <w:p>
      <w:pPr>
        <w:rPr/>
      </w:pPr>
      <w:r>
        <w:rPr/>
        <w:t xml:space="preserve">Ответ: В соответствии с пунктом 5.3 Указаний по заполнению формы № ИЖС "Сведения о построенных населением жилых домах", утвержденной приказом Росстата от 15.07.2020 № 383, по реконструированным жилым домам (пристройкам, надстройкам) отражается прирост общей площади жилых помещений по сравнению с первоначальным значением. При этом количество жилых домов (единиц) не отражается.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Порядок формирования показателя "Объем работ, выполненных по виду деятельности "Строительство" по полному кругу хозяйствующих субъектов</w:t>
      </w:r>
    </w:p>
    <w:p>
      <w:pPr>
        <w:rPr/>
      </w:pPr>
      <w:r>
        <w:rPr/>
        <w:t xml:space="preserve">Ответ: Порядок формирования  показателя "Объем работ, выполненных по виду деятельности "Строительство" по полному кругу хозяйствующих субъектов  разрабатывается  в соответствии с официальной статистической методологией, утвержденной приказом Росстата от 25.12.2015 № 654 с изменениями, утвержденными приказами Росстата от 28.12.2016 № 877 и от 26.04.2018 № 272. Методика размещена на официальном интернет-портале Росстата по адресу: rosstat.gov.ru/ Статистика / Официальная статистика/  Предпринимательство/ Строительство/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Объем выполненных работ по виду деятельности «Строительство» по полному кругу предприятий</w:t>
      </w:r>
    </w:p>
    <w:p>
      <w:pPr>
        <w:rPr/>
      </w:pPr>
      <w:r>
        <w:rPr/>
        <w:t xml:space="preserve">Ответ: Информация по показателю "Объем работ выполненных по виду деятельности "Строительство" по полному кругу хозяйствующих субъектов" не разрабатывается в разрезе муниципальных районов и городских округов.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Источники информации по объектам индивидуального жилищного строительства</w:t>
      </w:r>
    </w:p>
    <w:p>
      <w:pPr>
        <w:rPr/>
      </w:pPr>
      <w:r>
        <w:rPr/>
        <w:t xml:space="preserve">Ответ: Форму федерального статистического наблюдения № ИЖС «Сведения о построенных населением жилых домах» (далее – форма) предоставляют федеральные органы исполнительной власти, органы исполнительной власти субъекта Российской Федерации, органы местного самоуправления, наделенные полномочиями по выдаче разрешений на строительство в соответствии со статьями 8 и 8.2 Градостроительного кодекса Российской Федерации, территориальные органы Федеральной службы государственной регистрации, кадастра и картографии (органы регистрации прав) (в соответствии с п. 2 ст. 5 Федерального закона от 2 августа 2019 г. № 267-ФЗ «О внесении изменений в отдельные законодательные акты Российской Федерации»). Основаниями для заполнения формы являются данные: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форма которого утверждена приказом Министерства строительства и жилищно-коммунального хозяйства Российской Федерации от 19 сентября 2018 г. № 591/пр (зарегистрирован Минюстом России 27 сентября 2018 г., регистрационный № 52269); разрешения на ввод объекта в эксплуатацию, форма которого утверждена приказом Министерства строительства и жилищно-коммунального хозяйства Российской Федерации от 19 февраля 2015 г. № 117/пр (зарегистрирован Минюстом России 9 апреля 2015 г., регистрационный № 36782); сведения из Единого государственного реестра недвижимости (ЕГРН).</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Несогласие со сроками публикации данных по вводу жилья ежемесячно и квартально, вопросы по формированию средней стоимости строительства 1 кв м жилья, за счет каких застройщиков снижение</w:t>
      </w:r>
    </w:p>
    <w:p>
      <w:pPr>
        <w:rPr/>
      </w:pPr>
      <w:r>
        <w:rPr/>
        <w:t xml:space="preserve">Ответ: 1. В соответствии с пунктом 1.21.3 ФПСР информация о вводе жилых домов формируется ежемесячно на 14-й календарный день после отчетного периода и ежеквартально на  18-й рабочий день. Сведения по форме № С-1 предоставляются застройщиками  на 3 рабочий день после отчетного периода. Сроки разработки информации максимально оптимизированы. Большое количество отчитывающихся респондентов, а также большой массив обрабатываемых данных не позволяют  сократить сроки обработки. Предоставление ТОГС предварительных данных, которые после проверки специалистами центрального аппарата в ряде случаев претерпевают значительные изменения, влечет за собой недоверие к официальной статистической информации со стороны органов исполнительной власти в субъекте Российской Федерации.   2. Показатель средней фактической стоимости строительства 1 кв. метра общей площади жилых помещений во введенных в эксплуатацию жилых зданиях в целом по субъекту Российской Федерации формируется исходя из полученных от респондентов сведений о введенной в отчетном периоде площади жилых помещений отдельно стоящих зданий жилого назначения квартирного типа, к которым относятся  многоквартирные дома (без пристроек, надстроек, встроенных помещений и индивидуальных жилых домов), независимо от даты начала строительства и степени комфортности, этажности, включая дома, строительство которых осуществлялось с нарушением нормативных сроков и фактически произведенных застройщиками  капитальных затрат на их строительство.  Для этого в форме федерального статистического наблюдения № С-1 «Сведения о вводе в эксплуатацию зданий и сооружений» выделяются данные по законченным строительством, отдельно стоящим зданиям жилого назначения квартирного типа, предъявленным к вводу с отделкой и без отделки, принятым в эксплуатацию в порядке, установленном ст. 55 Градостроительного кодекса Российской Федерации, на основании Разрешения на ввод объекта в эксплуатацию. Таким образом, сформированные в среднем по субъекту Российской Федерации данные содержат все фактически произведенные при строительстве объекта затраты, отражаемые в бухгалтерском учете.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Каким образом отражаются в показателях по вводу жилья данные по жилым зданиям, переоборудованным из нежилых</w:t>
      </w:r>
    </w:p>
    <w:p>
      <w:pPr>
        <w:rPr/>
      </w:pPr>
      <w:r>
        <w:rPr/>
        <w:t xml:space="preserve">Ответ: Жилые здания, переоборудованные из нежилых, не учитываются в количестве введенных жилых зданий (домов) . Площадь жилых помещений, переоборудованных из нежилых в результате реконструкции, отражается по строке 15 "Жилые помещения в нежилых зданиях - кв м общей площади" формы № С-1.</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Потребность в информации о предоставлении ввода многоквартирных домов в разрезе застройщиков с указанием объемов вводимого жилья. Возможно ли предоставление такой информации без грифа «Для служебного пользования», так как данная информация представлена в Паспорте строящегося объекта непосредственно на месте строительства</w:t>
      </w:r>
    </w:p>
    <w:p>
      <w:pPr>
        <w:rPr/>
      </w:pPr>
      <w:r>
        <w:rPr/>
        <w:t xml:space="preserve">Ответ: В соответствии с частью 1 статьи 9 Закона о статучете первичные статистические данные, содержащиеся в формах федерального статистического наблюдения, являются информацией ограниченного доступа, за исключением информации, недопустимость ограничения доступа к которой установлена федеральными законами. Субъекты официального статистического учета обязаны обеспечить конфиденциальность информации ограниченного доступа. Первичные статистические данные, являющиеся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статистической информации.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Вопросы по сверке ввода индивидуального жилищного строительства между муниципалитетами и Росреестром , порядок оформления выявленных расхождений в данные для статотчетности.</w:t>
      </w:r>
    </w:p>
    <w:p>
      <w:pPr>
        <w:rPr/>
      </w:pPr>
      <w:r>
        <w:rPr/>
        <w:t xml:space="preserve">Ответ: Поскольку в регионах складывается различная схема подтверждения факта создания жилых домов, построенных населением, территориальными органами статистики может быть определен один или несколько респондентов, представляющих сведения по форме № ИЖС. При получении отчетов от нескольких респондентов необходимо проводить анализ информации на предмет исключения ранее учтенных жилых домов, объектов, построенных на земельных участках, не предназначенных для индивидуального жилищного строительства, ведения личного подсобного хозяйства, строительства жилых домов блокированной застройки, ведения садоводства, а также садовых домов. Органы местного самоуправления, используя данные Росреестра, исключают из списков учтенные жилые дома и представляют в статистику данные только о вновь построенных индивидуальных жилых домах в отчетном периоде, а информацию о пристройке или надстройке отражают как прирост общей площади жилых помещений по сравнению с первоначальным значением.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Почему произошла смена респондентов, отчитывающихся по форме № ИЖС «Сведения о построенных населением жилых домах» в 2019 году</w:t>
      </w:r>
    </w:p>
    <w:p>
      <w:pPr>
        <w:rPr/>
      </w:pPr>
      <w:r>
        <w:rPr/>
        <w:t xml:space="preserve">Ответ: В связи с вступлением в силу норм законодательства, допускающих до 1 марта 2021 года упрощенный порядок оформления жилых домов, расположенных на земельных участках, предназначенных для ведения гражданами садоводства (п. 2 ст. 5 Федерального закона от 02 августа 2019 г. № 267-ФЗ «О внесении изменений в отдельные законодательные акты Российской Федерации») начиная с отчета за август 2019 года в перечень респондентов по форме добавлены территориальные органы Федеральной службы государственной регистрации, кадастра и картографии (приказ Росстата от 10 октября 2019 г. № 588).</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47782">
    <w:multiLevelType w:val="hybridMultilevel"/>
    <w:lvl w:ilvl="0" w:tplc="25553193">
      <w:start w:val="1"/>
      <w:numFmt w:val="decimal"/>
      <w:lvlText w:val="%1."/>
      <w:lvlJc w:val="left"/>
      <w:pPr>
        <w:ind w:left="720" w:hanging="360"/>
      </w:pPr>
    </w:lvl>
    <w:lvl w:ilvl="1" w:tplc="25553193" w:tentative="1">
      <w:start w:val="1"/>
      <w:numFmt w:val="lowerLetter"/>
      <w:lvlText w:val="%2."/>
      <w:lvlJc w:val="left"/>
      <w:pPr>
        <w:ind w:left="1440" w:hanging="360"/>
      </w:pPr>
    </w:lvl>
    <w:lvl w:ilvl="2" w:tplc="25553193" w:tentative="1">
      <w:start w:val="1"/>
      <w:numFmt w:val="lowerRoman"/>
      <w:lvlText w:val="%3."/>
      <w:lvlJc w:val="right"/>
      <w:pPr>
        <w:ind w:left="2160" w:hanging="180"/>
      </w:pPr>
    </w:lvl>
    <w:lvl w:ilvl="3" w:tplc="25553193" w:tentative="1">
      <w:start w:val="1"/>
      <w:numFmt w:val="decimal"/>
      <w:lvlText w:val="%4."/>
      <w:lvlJc w:val="left"/>
      <w:pPr>
        <w:ind w:left="2880" w:hanging="360"/>
      </w:pPr>
    </w:lvl>
    <w:lvl w:ilvl="4" w:tplc="25553193" w:tentative="1">
      <w:start w:val="1"/>
      <w:numFmt w:val="lowerLetter"/>
      <w:lvlText w:val="%5."/>
      <w:lvlJc w:val="left"/>
      <w:pPr>
        <w:ind w:left="3600" w:hanging="360"/>
      </w:pPr>
    </w:lvl>
    <w:lvl w:ilvl="5" w:tplc="25553193" w:tentative="1">
      <w:start w:val="1"/>
      <w:numFmt w:val="lowerRoman"/>
      <w:lvlText w:val="%6."/>
      <w:lvlJc w:val="right"/>
      <w:pPr>
        <w:ind w:left="4320" w:hanging="180"/>
      </w:pPr>
    </w:lvl>
    <w:lvl w:ilvl="6" w:tplc="25553193" w:tentative="1">
      <w:start w:val="1"/>
      <w:numFmt w:val="decimal"/>
      <w:lvlText w:val="%7."/>
      <w:lvlJc w:val="left"/>
      <w:pPr>
        <w:ind w:left="5040" w:hanging="360"/>
      </w:pPr>
    </w:lvl>
    <w:lvl w:ilvl="7" w:tplc="25553193" w:tentative="1">
      <w:start w:val="1"/>
      <w:numFmt w:val="lowerLetter"/>
      <w:lvlText w:val="%8."/>
      <w:lvlJc w:val="left"/>
      <w:pPr>
        <w:ind w:left="5760" w:hanging="360"/>
      </w:pPr>
    </w:lvl>
    <w:lvl w:ilvl="8" w:tplc="25553193" w:tentative="1">
      <w:start w:val="1"/>
      <w:numFmt w:val="lowerRoman"/>
      <w:lvlText w:val="%9."/>
      <w:lvlJc w:val="right"/>
      <w:pPr>
        <w:ind w:left="6480" w:hanging="180"/>
      </w:pPr>
    </w:lvl>
  </w:abstractNum>
  <w:abstractNum w:abstractNumId="12447781">
    <w:multiLevelType w:val="hybridMultilevel"/>
    <w:lvl w:ilvl="0" w:tplc="571529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47781">
    <w:abstractNumId w:val="12447781"/>
  </w:num>
  <w:num w:numId="12447782">
    <w:abstractNumId w:val="124477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