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в разрезе муниципальных образований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Общая площадь жилых помещений в разрезе сельских поселений</w:t>
      </w:r>
    </w:p>
    <w:p>
      <w:pPr>
        <w:rPr/>
      </w:pPr>
      <w:r>
        <w:rPr/>
        <w:t xml:space="preserve">Ответ: Информация о жилищном фонде в разрезе сельских поселений размещается на интернет-сайте Росстата в Базе данных показателей муниципальных образований (БД ПМО):/rosstat.gov.ru/ Статистика / Официальная статистика/ Базы данных/ Показатели муниципальных образований / Субъект РФ / Коммунальная сфера.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Количество квартир и жилых домов, находящихся в ветхом и аварийном жилищном фонде, не обеспеченных газовыми плитами и напольными электрическими плитами</w:t>
      </w:r>
    </w:p>
    <w:p>
      <w:pPr>
        <w:rPr/>
      </w:pPr>
      <w:r>
        <w:rPr/>
        <w:t xml:space="preserve">Ответ: Информация о количестве квартир и жилых домов, находящихся в ветхом и аварийном жилищном фонде, оборудованных (не оборудованных) различными видами благоустройства, Росстатом не разрабатывается. В соответствии с поручением Правительства РФ от 22.09.2017 № ДК-П9-6295 об исключении использования  понятия "ветхий жилищный фонд", начиная с итогов за 2017 год, исключена разработка информации по ветхому жилищному фонду. В соответствии с пунктом 29.6 Федерального плана статистических работ официальная статистическая информация об аварийном жилищном фонде, начиная с итогов за 2015 год, разрабатывается в системе Минстроя России.   Информация об аварийном жилищном фонде (расселенном аварийном фонде) размещается  Минстроем России на сайте Реформа ЖКХ (https://www.reformagkh.ru) и в ЕМИСС.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Количество квартир и жилых домов, находящихся в ветхом и аварийном жилищном фонде, не обеспеченных отоплением</w:t>
      </w:r>
    </w:p>
    <w:p>
      <w:pPr>
        <w:rPr/>
      </w:pPr>
      <w:r>
        <w:rPr/>
        <w:t xml:space="preserve">Ответ: Информация о количестве квартир и жилых домов, находящихся в ветхом и аварийном жилищном фонде, оборудованных (не оборудованных) различными видами благоустройства, Росстатом не разрабатывается. В соответствии с поручением Правительства РФ от 22.09.2017 № ДК-П9-6295 об исключении использования  понятия "ветхий жилищный фонд", начиная с итогов за 2017 год, исключена разработка информации по ветхому жилищному фонду. В соответствии с пунктом 29.6 Федерального плана статистических работ официальная статистическая информация об аварийном жилищном фонде, начиная с итогов за 2015 год, разрабатывается в системе Минстроя России.   Информация об аварийном жилищном фонде (расселенном аварийном фонде) размещается  Минстроем России на сайте Реформа ЖКХ (https://www.reformagkh.ru) и в ЕМИСС.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Количество квартир и жилых домов, находящихся в ветхом и аварийном жилищном фонде, не обеспеченных, горячим водоснабжением</w:t>
      </w:r>
    </w:p>
    <w:p>
      <w:pPr>
        <w:rPr/>
      </w:pPr>
      <w:r>
        <w:rPr/>
        <w:t xml:space="preserve">Ответ: Информация о количестве квартир и жилых домов, находящихся в ветхом и аварийном жилищном фонде, оборудованных (не оборудованных) различными видами благоустройства, Росстатом не разрабатывается. В соответствии с поручением Правительства РФ от 22.09.2017 № ДК-П9-6295 об исключении использования  понятия "ветхий жилищный фонд", начиная с итогов за 2017 год, исключена разработка информации по ветхому жилищному фонду. В соответствии с пунктом 29.6 Федерального плана статистических работ официальная статистическая информация об аварийном жилищном фонде, начиная с итогов за 2015 год, разрабатывается в системе Минстроя России.   Информация об аварийном жилищном фонде (расселенном аварийном фонде) размещается  Минстроем России на сайте Реформа ЖКХ (https://www.reformagkh.ru) и в ЕМИСС.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Доля общей площади ветхих и аварийных квартир и жилых домов в общем объеме жилищного фонда субъекта Российской Федерации</w:t>
      </w:r>
    </w:p>
    <w:p>
      <w:pPr>
        <w:rPr/>
      </w:pPr>
      <w:r>
        <w:rPr/>
        <w:t xml:space="preserve">Ответ: Информация о количестве квартир и жилых домов, находящихся в ветхом и аварийном жилищном фонде, оборудованных (не оборудованных) различными видами благоустройства, Росстатом не разрабатывается. В соответствии с поручением Правительства РФ от 22.09.2017 № ДК-П9-6295 об исключении использования  понятия "ветхий жилищный фонд", начиная с итогов за 2017 год, исключена разработка информации по ветхому жилищному фонду. В соответствии с пунктом 29.6 Федерального плана статистических работ официальная статистическая информация об аварийном жилищном фонде, начиная с итогов за 2015 год, разрабатывается в системе Минстроя России.   Информация об аварийном жилищном фонде (расселенном аварийном фонде) размещается  Минстроем России на сайте Реформа ЖКХ (https://www.reformagkh.ru) и в ЕМИСС.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Доля общей площади квартир и жилых домов, обеспеченных газовыми плитами, в общем объеме жилищного фонда субъекта Российской Федерации</w:t>
      </w:r>
    </w:p>
    <w:p>
      <w:pPr>
        <w:rPr/>
      </w:pPr>
      <w:r>
        <w:rPr/>
        <w:t xml:space="preserve">Ответ: В соответствии с п. 1.11.1 Федерального плана статистических работ по форме федерального статистического наблюдения № 1-жилфонд "Сведения о жилищном фонде" разрабатывается информация об удельном весе общей площади жилых помещений (всего, в том числе в многоквартирных домах), оборудованной газом (сетевым, сжиженным), в том числе централизованным, в общей площади жилых помещений всего жилищного фонда. Данный показатель публикуется в открытом доступе в Единой межведомственной информационно-статистической системе (ЕМИСС) по адресу: www.fedstat.ru/ Ведомства/ 1. Федеральная служба государственной статистики/ 1.11. Жилищные условия населения, ход реформы ЖКХ/ 1.11.1. Жилищные условия населения.  Доля общей площади квартир и жилых домов, обеспеченных газовыми плитами, в общем объеме жилищного фонда Росстатом не разрабатывается.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Фактическое возмещение населением затрат на предоставление жилищно-коммунальных услуг</w:t>
      </w:r>
    </w:p>
    <w:p>
      <w:pPr>
        <w:rPr/>
      </w:pPr>
      <w:r>
        <w:rPr/>
        <w:t xml:space="preserve">Ответ: Показатель "Фактическое возмещение населением затрат на предоставление жилищно-коммунальных услуг" начиная с отчета за январь-март 2019 года не разрабатывается.  Показатели "Фактически оплачено коммунальных платежей, гражданами, имеющими прямые договоры с ресурсоснабжающими организациями" и "Фактически оплачено населением платежей за жилое помещение, капитальный ремонт и коммунальные услуги" (фактически оплачено населением  платежей за жилищно-коммунальные услуги управляющим организациям, ЖК, ЖСК, ТСЖ и др. ) публикуются в открытом доступе в Единой межведомственной информационно-статистической системе (ЕМИСС) по адресу: www.fedstat.ru/ Ведомства/ 1. Федеральная служба государственной статистики/ 1.11. Жилищные условия населения, ход реформы ЖКХ/ 1.11.2. Основные показатели хода реформы жилищно-коммунального хозяйства.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Чем отличаются сводные показатели, сформированные по форме № 22-ЖКХ (ресурсы) «Сведения о работе ресурсоснабжающих организациях в условиях реформы» от сводных показателей формы № 22-ЖКХ (жилище) «Сведения о работе организаций, оказывающих услуги в сфере жилищно-коммунального хозяйства, в условиях реформы»</w:t>
      </w:r>
    </w:p>
    <w:p>
      <w:pPr>
        <w:rPr/>
      </w:pPr>
      <w:r>
        <w:rPr/>
        <w:t xml:space="preserve">Ответ: Информация, формируемая на основе формы № 22-ЖКХ (ресурсы) «Сведения о работе ресурсоснабжающих организациях в условиях реформы», отличается от информации, формируемой на основе формы № 22-ЖКХ (жилище) «Сведения о работе организаций, оказывающих услуги в сфере жилищно-коммунального хозяйства, в условиях реформы», разным кругом отчитывающихся (наблюдаемых) организаций. Сведения по форме № 22-ЖКХ (ресурсы) предоставляются ресурсоснабжающими организациями, а по форме № 22-ЖКХ (жилище) - исполнителями коммунальных услуг (УК, ТСЖ, ЖСК, ЖК, иные специализированные потребительские кооперативы).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Какие конкретно показатели, характеризующие работу организаций жилищно-коммунального хозяйства в условиях реформы, могут быть предоставлены пользователям (включая органы власти) бесплатно</w:t>
      </w:r>
    </w:p>
    <w:p>
      <w:pPr>
        <w:rPr/>
      </w:pPr>
      <w:r>
        <w:rPr/>
        <w:t xml:space="preserve">Ответ: Все показатели, содержащиеся в формах № 22-ЖКХ (ресурсы) «Сведения о работе ресурсоснабжающих организациях в условиях реформы» и № 22-ЖКХ (жилище) «Сведения о работе организаций, оказывающих услуги в сфере жилищно-коммунального хозяйства, в условиях реформы» предоставляются пользователям на безвозмездной  основе, в разрезах и сроки, предусмотренные ФПСР, с соблюдением принципа конфиденциальности  в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 5; ст. 9, п. 1).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При заполнении формы № 1-МО "Сведения об инфраструктуре муниципального образования" возникает вопрос: "Протяженность улиц, проездов, набережных и протяженность дорог в границах населенных пунктов это равные величины?"</w:t>
      </w:r>
    </w:p>
    <w:p>
      <w:pPr>
        <w:rPr/>
      </w:pPr>
      <w:r>
        <w:rPr/>
        <w:t xml:space="preserve">Ответ: В показатель "Общая протяженность улиц, проездов, набережных на конец отчетного года" включается вся протяженность улиц, проездов, набережных, включая протяженность автомобильных дорог общего пользования местного значения, а также частные дороги, переданные в аренду органам местного самоуправления.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969078">
    <w:multiLevelType w:val="hybridMultilevel"/>
    <w:lvl w:ilvl="0" w:tplc="11557851">
      <w:start w:val="1"/>
      <w:numFmt w:val="decimal"/>
      <w:lvlText w:val="%1."/>
      <w:lvlJc w:val="left"/>
      <w:pPr>
        <w:ind w:left="720" w:hanging="360"/>
      </w:pPr>
    </w:lvl>
    <w:lvl w:ilvl="1" w:tplc="11557851" w:tentative="1">
      <w:start w:val="1"/>
      <w:numFmt w:val="lowerLetter"/>
      <w:lvlText w:val="%2."/>
      <w:lvlJc w:val="left"/>
      <w:pPr>
        <w:ind w:left="1440" w:hanging="360"/>
      </w:pPr>
    </w:lvl>
    <w:lvl w:ilvl="2" w:tplc="11557851" w:tentative="1">
      <w:start w:val="1"/>
      <w:numFmt w:val="lowerRoman"/>
      <w:lvlText w:val="%3."/>
      <w:lvlJc w:val="right"/>
      <w:pPr>
        <w:ind w:left="2160" w:hanging="180"/>
      </w:pPr>
    </w:lvl>
    <w:lvl w:ilvl="3" w:tplc="11557851" w:tentative="1">
      <w:start w:val="1"/>
      <w:numFmt w:val="decimal"/>
      <w:lvlText w:val="%4."/>
      <w:lvlJc w:val="left"/>
      <w:pPr>
        <w:ind w:left="2880" w:hanging="360"/>
      </w:pPr>
    </w:lvl>
    <w:lvl w:ilvl="4" w:tplc="11557851" w:tentative="1">
      <w:start w:val="1"/>
      <w:numFmt w:val="lowerLetter"/>
      <w:lvlText w:val="%5."/>
      <w:lvlJc w:val="left"/>
      <w:pPr>
        <w:ind w:left="3600" w:hanging="360"/>
      </w:pPr>
    </w:lvl>
    <w:lvl w:ilvl="5" w:tplc="11557851" w:tentative="1">
      <w:start w:val="1"/>
      <w:numFmt w:val="lowerRoman"/>
      <w:lvlText w:val="%6."/>
      <w:lvlJc w:val="right"/>
      <w:pPr>
        <w:ind w:left="4320" w:hanging="180"/>
      </w:pPr>
    </w:lvl>
    <w:lvl w:ilvl="6" w:tplc="11557851" w:tentative="1">
      <w:start w:val="1"/>
      <w:numFmt w:val="decimal"/>
      <w:lvlText w:val="%7."/>
      <w:lvlJc w:val="left"/>
      <w:pPr>
        <w:ind w:left="5040" w:hanging="360"/>
      </w:pPr>
    </w:lvl>
    <w:lvl w:ilvl="7" w:tplc="11557851" w:tentative="1">
      <w:start w:val="1"/>
      <w:numFmt w:val="lowerLetter"/>
      <w:lvlText w:val="%8."/>
      <w:lvlJc w:val="left"/>
      <w:pPr>
        <w:ind w:left="5760" w:hanging="360"/>
      </w:pPr>
    </w:lvl>
    <w:lvl w:ilvl="8" w:tplc="115578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69077">
    <w:multiLevelType w:val="hybridMultilevel"/>
    <w:lvl w:ilvl="0" w:tplc="25652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969077">
    <w:abstractNumId w:val="28969077"/>
  </w:num>
  <w:num w:numId="28969078">
    <w:abstractNumId w:val="289690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