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Методология формирования показателей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Количество объектов сельского туризма</w:t>
      </w:r>
    </w:p>
    <w:p>
      <w:pPr>
        <w:rPr/>
      </w:pPr>
      <w:r>
        <w:rPr/>
        <w:t xml:space="preserve">Ответ: В настоящее время формирование официальной статистической информации об объектах сельского туризма Федеральным планом статистических работ не предусмотрено.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Изменения в методологию формирования стат.отчетности по форме № 1-турфирма, в части оценки количества обслуженных экскурсантов</w:t>
      </w:r>
    </w:p>
    <w:p>
      <w:pPr>
        <w:rPr/>
      </w:pPr>
      <w:r>
        <w:rPr/>
        <w:t xml:space="preserve">Ответ: Показатель «Число обслуженных однодневных посетителей (экскурсантов)» исключен из формы в 2018 году, т.к. то незначительное количество экскурсантов, сведения о которых предоставляли обследуемые по данной форме туроператоры и турагенты, не позволяло корректно отражать истинное количество всех экскурсантов, посетивших тот или иной субъект Российской Федерации, и вводило в заблуждение пользователей статистической информации. Для получения информации о количестве экскурсантов предполагается использовать «большие данные» и другие альтернативные источники информации.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Формирование статистической информации о сельских домах. Необходима разработка методологии и методов обследования «зеленых домов»</w:t>
      </w:r>
    </w:p>
    <w:p>
      <w:pPr>
        <w:rPr/>
      </w:pPr>
      <w:r>
        <w:rPr/>
        <w:t xml:space="preserve">Ответ: Официальная статистическая информация о сельских гостевых домах отдельно не формируется. В формах федерального статистического наблюдения за деятельностью коллективных средств размещения сельские гостевые дома включены в состав других организаций отдыха.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Прочее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Доля туристской индустрии в валовом региональном продукте</w:t>
      </w:r>
    </w:p>
    <w:p>
      <w:pPr>
        <w:rPr/>
      </w:pPr>
      <w:r>
        <w:rPr/>
        <w:t xml:space="preserve">Ответ: В соответствии с распоряжениями Правительства Российской Федерации от 17.01.2019. № 20-р “Об утверждении плана мероприятий "Трансформация делового климата", от 17 января 2020 г. № 19-р, пунктом 6 Плана мероприятий Росстат по совершенствованию статистического учета в сфере туризма на 2020-2023 годы, утвержденного  приказом Росстата от 31.03.2020 №173, формирование официальной статистической информации о вкладе туристской индустрии в экономику субъекта Российской Федерации предусмотрено в марте 2022 года, начиная с итогов за 2020 год.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Прирост доли мест в классифицированных гостиницах и иных средства размещения к общему количеству в гостиницах и иных средства размещения</w:t>
      </w:r>
    </w:p>
    <w:p>
      <w:pPr>
        <w:rPr/>
      </w:pPr>
      <w:r>
        <w:rPr/>
        <w:t xml:space="preserve">Ответ: К классифицированным относятся гостиницы или аналогичные средства размещения, прошедшие в установленном порядке сертификацию в аккредитованной организации. Официальная статистическая информация по показателю "Прирост доли мест в классифицированных гостиницах и иных средствах размещения к общему количеству в гостиницах и иных средствах размещения" Росстатом не разрабатывается.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183453">
    <w:multiLevelType w:val="hybridMultilevel"/>
    <w:lvl w:ilvl="0" w:tplc="26500009">
      <w:start w:val="1"/>
      <w:numFmt w:val="decimal"/>
      <w:lvlText w:val="%1."/>
      <w:lvlJc w:val="left"/>
      <w:pPr>
        <w:ind w:left="720" w:hanging="360"/>
      </w:pPr>
    </w:lvl>
    <w:lvl w:ilvl="1" w:tplc="26500009" w:tentative="1">
      <w:start w:val="1"/>
      <w:numFmt w:val="lowerLetter"/>
      <w:lvlText w:val="%2."/>
      <w:lvlJc w:val="left"/>
      <w:pPr>
        <w:ind w:left="1440" w:hanging="360"/>
      </w:pPr>
    </w:lvl>
    <w:lvl w:ilvl="2" w:tplc="26500009" w:tentative="1">
      <w:start w:val="1"/>
      <w:numFmt w:val="lowerRoman"/>
      <w:lvlText w:val="%3."/>
      <w:lvlJc w:val="right"/>
      <w:pPr>
        <w:ind w:left="2160" w:hanging="180"/>
      </w:pPr>
    </w:lvl>
    <w:lvl w:ilvl="3" w:tplc="26500009" w:tentative="1">
      <w:start w:val="1"/>
      <w:numFmt w:val="decimal"/>
      <w:lvlText w:val="%4."/>
      <w:lvlJc w:val="left"/>
      <w:pPr>
        <w:ind w:left="2880" w:hanging="360"/>
      </w:pPr>
    </w:lvl>
    <w:lvl w:ilvl="4" w:tplc="26500009" w:tentative="1">
      <w:start w:val="1"/>
      <w:numFmt w:val="lowerLetter"/>
      <w:lvlText w:val="%5."/>
      <w:lvlJc w:val="left"/>
      <w:pPr>
        <w:ind w:left="3600" w:hanging="360"/>
      </w:pPr>
    </w:lvl>
    <w:lvl w:ilvl="5" w:tplc="26500009" w:tentative="1">
      <w:start w:val="1"/>
      <w:numFmt w:val="lowerRoman"/>
      <w:lvlText w:val="%6."/>
      <w:lvlJc w:val="right"/>
      <w:pPr>
        <w:ind w:left="4320" w:hanging="180"/>
      </w:pPr>
    </w:lvl>
    <w:lvl w:ilvl="6" w:tplc="26500009" w:tentative="1">
      <w:start w:val="1"/>
      <w:numFmt w:val="decimal"/>
      <w:lvlText w:val="%7."/>
      <w:lvlJc w:val="left"/>
      <w:pPr>
        <w:ind w:left="5040" w:hanging="360"/>
      </w:pPr>
    </w:lvl>
    <w:lvl w:ilvl="7" w:tplc="26500009" w:tentative="1">
      <w:start w:val="1"/>
      <w:numFmt w:val="lowerLetter"/>
      <w:lvlText w:val="%8."/>
      <w:lvlJc w:val="left"/>
      <w:pPr>
        <w:ind w:left="5760" w:hanging="360"/>
      </w:pPr>
    </w:lvl>
    <w:lvl w:ilvl="8" w:tplc="265000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83452">
    <w:multiLevelType w:val="hybridMultilevel"/>
    <w:lvl w:ilvl="0" w:tplc="470759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183452">
    <w:abstractNumId w:val="36183452"/>
  </w:num>
  <w:num w:numId="36183453">
    <w:abstractNumId w:val="361834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