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Порядок формирования показателя «Инвестиции в основной капитал» по полному кругу организаций</w:t>
      </w:r>
    </w:p>
    <w:p>
      <w:pPr>
        <w:rPr/>
      </w:pPr>
      <w:r>
        <w:rPr/>
        <w:t xml:space="preserve">Ответ: Порядок формирования объема инвестиций в основной капитал по полному кругу хозяйствующих субъектов изложен в "Официальной статистической методологии определения инвестиций в основной капитал на региональном уровне" и "Официальной статистической методологии определения инвестиций в основной капитал на федеральном уровне", утвержденных приказами Росстата соответственно от 18.09.2014 г. № 569 и от 25 ноября 2016 г. № 746, размещенных на официальном интернет-портале Росстата по адресу: rosstat.gov.ru/ Главная страница/ Статистика/ Официальная статистика/ Предпринимательство/ Инвестиции/ Инвестиции в нефинансовые активы/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не публикуются (не рассчитываются) данные по показателю "объём инвестиций в основной капитал в районном разрезе по полному кругу хозяйствующих субъектов" (с учетом субъектов малого предпринимательства)?</w:t>
      </w:r>
    </w:p>
    <w:p>
      <w:pPr>
        <w:rPr/>
      </w:pPr>
      <w:r>
        <w:rPr/>
        <w:t xml:space="preserve">Ответ: Официальная статистическая информация по полному кругу предприятий в разрезе муниципальных образований не разрабатывается в связи с отсутствием достаточной информационной базы. В соответствии с Федеральным законом от 24 июля 2007 года № 209-ФЗ «О развитии малого и среднего предпринимательства в Российской Федерации» сплошные наблюдения за деятельностью субъектов малого предпринимательства в Российской Федерации проводятся один раз в пять лет. В период между сплошными наблюдениями обследования осуществляются на основе представительной (репрезентативной) выборки. Ограничения, присущие выборочному методу наблюдения (прежде всего, недостаточность объема используемой выборочной совокупности), не позволяют формировать показатели, характеризующие деятельность субъектов малого предпринимательства,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Методология формирования выборок по малым и микропредприятиям, и распределение объемов инвестиций в основной капитал малых и микропредприятий  по муниципальным образованиям области</w:t>
      </w:r>
    </w:p>
    <w:p>
      <w:pPr>
        <w:rPr/>
      </w:pPr>
      <w:r>
        <w:rPr/>
        <w:t xml:space="preserve">Ответ: Данные на основе выборочных обследований по малым предприятиям  в разрезе муниципальных образований не формируются. Ограничения, присущие выборочному методу наблюдения (прежде всего, недостаточность объема используемой выборочной совокупности), не позволяют формировать показатели, характеризующие деятельность субъектов малого предпринимательства,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Пункт 1.33.55 ФПСР «Инвестиции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 дополнить распределением инвестиций по видам экономической деятельности по городским округам</w:t>
      </w:r>
    </w:p>
    <w:p>
      <w:pPr>
        <w:rPr/>
      </w:pPr>
      <w:r>
        <w:rPr/>
        <w:t xml:space="preserve">Ответ: Формирование информации по видам экономической деятельности в разрезе муниципальных образованиий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возможности отнесения к инвестициям в основной капитал, средств направляемых на восстановление объектов</w:t>
      </w:r>
    </w:p>
    <w:p>
      <w:pPr>
        <w:rPr/>
      </w:pPr>
      <w:r>
        <w:rPr/>
        <w:t xml:space="preserve">Ответ: В соответствии с Федеральным законом "Об инвестиционной деятельности в Российской Федерации, осуществляемой в форме капитальных вложений" от 25.02.1999 № 39-ФЗ, капитальные вложения - это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Восстановление объекта основных средств может осуществляться посредством ремонта, модернизации и реконструкции. В случае восстановления объекта посредством ремонта затраты к инвестициям в основной капитал не относятся.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 связи с чем существует несколько оценок показателя «Инвестиции в основной капитал» и почему нельзя ограничиться одной оценкой?</w:t>
      </w:r>
    </w:p>
    <w:p>
      <w:pPr>
        <w:rPr/>
      </w:pPr>
      <w:r>
        <w:rPr/>
        <w:t xml:space="preserve">Ответ: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 544, осуществляется несколько оценок объема инвестиций в основной капитал по субъектам Российской Федерации. 1-ая годовая оценка формируется на основе текущей отчетности крупных и средних организаций за январь-декабрь отчетного года, сформированной по данным первичных учетных документов, и расчетов, базирующихся на гипотезе сохранения структуры инвестиций по типам хозяйствующих субъектов за предыдущий год. 2-ая годовая оценка формируется на основе годовых отчетов по полному кругу всех типов организаций-заказчиков (крупные, средние, малые и микропредприятия),  составленных по данным годовой бухгалтерской отчетности и экономических расчетов, согласованных с оценками инвестиционных ресурсов по России в целом. Квартальные итоги перераспределяются на основе первой годовой оценки, а потом на основе данных второй годовой оценки.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Данные в разрезе предприятий, крупнейших  инвесторов, инфраструктурных монополий, с указанием объемов инвестиций. Возможно ли предоставление списка предприятий, имеющих крупные вложения в основной капитал, без указания объема инвестиций</w:t>
      </w:r>
    </w:p>
    <w:p>
      <w:pPr>
        <w:rPr/>
      </w:pPr>
      <w:r>
        <w:rPr/>
        <w:t xml:space="preserve">Ответ: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 5; ст. 9, п. 1) в целях обеспечения конфидициальности первичных статистических данных, полученных от организаций, сведения в разрезе предприятий не предоставляются. Предоставление перечня организаций, без указания объема инвестиций, допускается.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Инвестиции в основной капитал по полному кругу хозяйствующих субъектов, действующих на территориях опережающего социально-экономического развития</w:t>
      </w:r>
    </w:p>
    <w:p>
      <w:pPr>
        <w:rPr/>
      </w:pPr>
      <w:r>
        <w:rPr/>
        <w:t xml:space="preserve">Ответ: Информация об инвестициях в основной капитал по хозяйствующим субъектам, действующим на территориях опережающего социально-экономического развития, не разрабатывается в связи недостаточностью технико-экономической информации для идентификации территорий опережающего социально-экономического развития. Требуется внесение в установленном порядке в Общероссийский классификатор экономических регионов (ОКЭР) нового раздела с отражением в нем упомянутых территорий с идентификационными кодами ОКЭР, а также относящихся к ним субъектов Российской Федерации с идентификационными кодами по Общероссийскому классификатору объектов административно-территориального деления (ОКАТО) и муниципальных образований с идентификационными кодами по Общероссийскому классификатору территорий муниципальных образований (ОКТМО).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объем инвестиций по малым предприятиям и микропредприятиям учитывается в объеме инвестиций в основной капитал по полному кругу предприятий и организаций региона</w:t>
      </w:r>
    </w:p>
    <w:p>
      <w:pPr>
        <w:rPr/>
      </w:pPr>
      <w:r>
        <w:rPr/>
        <w:t xml:space="preserve">Ответ: Информационной базой для определения объема инвестиций по малым и микропредприятиям являются итоги сплошных федеральных статистических наблюдений, которые проводятся один раз в пять лет, в период между сплошными обследованиями - итоги выборочного обследования по формам федерального статистического наблюдения № ПМ "Сведения об основных показателях деятельности малого предприятия" и № МП (микро) "Сведения об основных показателях деятельности микропредприятия".   Порядок формирования объема инвестиций в основной капитал по полному кругу хозяйствующих субъектов изложен в "Официальной статистической методологии определения инвестиций в основной капитал на региональном уровне",  утвержденной приказом Росстата от 18.09.2014 г. № 569 и размещенной на официальном интернет-портале Росстата по адресу: rosstat.gov.ru/ Главная страница/ Статистика/ Официальная статистика/ Предпринимательство/ Инвестиции/ Инвестиции в нефинансовые активы/ Информация/ Методология.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Перечни организаций, предоставивших сведения об инвестициях, распределенных по «чистым» видам экономической деятельности</w:t>
      </w:r>
    </w:p>
    <w:p>
      <w:pPr>
        <w:rPr/>
      </w:pPr>
      <w:r>
        <w:rPr/>
        <w:t xml:space="preserve">Ответ: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 5; ст. 9, п. 1) в целях обеспечения конфидициальности первичных статистических данных, полученных от организаций, сведения в разрезе предприятий не предоставляются.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Перечни организаций, осуществивших наиболее крупные инвестиционные вложения</w:t>
      </w:r>
    </w:p>
    <w:p>
      <w:pPr>
        <w:rPr/>
      </w:pPr>
      <w:r>
        <w:rPr/>
        <w:t xml:space="preserve">Ответ: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 5; ст. 9, п. 1) в целях обеспечения конфидициальности первичных статистических данных, полученных от организаций, сведения в разрезе предприятий не предоставляются.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возможности снятия грифа «конфиденциальность» с формы П-2, или же оставить его только по предприятиям определенных видов экономической деятельности</w:t>
      </w:r>
    </w:p>
    <w:p>
      <w:pPr>
        <w:rPr/>
      </w:pPr>
      <w:r>
        <w:rPr/>
        <w:t xml:space="preserve">Ответ: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 является принципом официального статистического учета и системы государственной статистики (Федеральный закон "Об официальном статистическом учете и системе государственной статистики в Российской Федерации" от 29.11.2007 № 282-ФЗ    (ст.4, п. 5). Первичные статистические данные, являются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 (Федеральный закон от 29.11.2007 № 282-ФЗ (ст.9, п. 1). Инвестиции в нефинансовые активы являются частью хозяйственной деятельностью респондентов. Веских причин для снятия грифа с этой формы не усматривается.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 каком случае капитальный ремонт основных средств относится к инвестициям в основной капитал?</w:t>
      </w:r>
    </w:p>
    <w:p>
      <w:pPr>
        <w:rPr/>
      </w:pPr>
      <w:r>
        <w:rPr/>
        <w:t xml:space="preserve">Ответ: В соответствии с Федеральным законом "Об инвестиционной деятельности в Российской Федерации, осуществляемой в форме капитальных вложений" от 25.02.1999 № 39-ФЗ капитальные вложения - это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Затраты на капитальный ремонт к инвестициям в основной капитал не относятся. При этом затраты на капитальный и текущий ремонт основных средств включаются в объем работ, выполненных по виду деятельности "Строительство".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Какие затраты относятся к инвестициям в основной капитал при переводе скота в основное стадо</w:t>
      </w:r>
    </w:p>
    <w:p>
      <w:pPr>
        <w:rPr/>
      </w:pPr>
      <w:r>
        <w:rPr/>
        <w:t xml:space="preserve">Ответ: При переводе скота в основное стадо учитываются затраты на выращивание в хозяйстве молодняка продуктивного и рабочего скота.</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988406">
    <w:multiLevelType w:val="hybridMultilevel"/>
    <w:lvl w:ilvl="0" w:tplc="99973575">
      <w:start w:val="1"/>
      <w:numFmt w:val="decimal"/>
      <w:lvlText w:val="%1."/>
      <w:lvlJc w:val="left"/>
      <w:pPr>
        <w:ind w:left="720" w:hanging="360"/>
      </w:pPr>
    </w:lvl>
    <w:lvl w:ilvl="1" w:tplc="99973575" w:tentative="1">
      <w:start w:val="1"/>
      <w:numFmt w:val="lowerLetter"/>
      <w:lvlText w:val="%2."/>
      <w:lvlJc w:val="left"/>
      <w:pPr>
        <w:ind w:left="1440" w:hanging="360"/>
      </w:pPr>
    </w:lvl>
    <w:lvl w:ilvl="2" w:tplc="99973575" w:tentative="1">
      <w:start w:val="1"/>
      <w:numFmt w:val="lowerRoman"/>
      <w:lvlText w:val="%3."/>
      <w:lvlJc w:val="right"/>
      <w:pPr>
        <w:ind w:left="2160" w:hanging="180"/>
      </w:pPr>
    </w:lvl>
    <w:lvl w:ilvl="3" w:tplc="99973575" w:tentative="1">
      <w:start w:val="1"/>
      <w:numFmt w:val="decimal"/>
      <w:lvlText w:val="%4."/>
      <w:lvlJc w:val="left"/>
      <w:pPr>
        <w:ind w:left="2880" w:hanging="360"/>
      </w:pPr>
    </w:lvl>
    <w:lvl w:ilvl="4" w:tplc="99973575" w:tentative="1">
      <w:start w:val="1"/>
      <w:numFmt w:val="lowerLetter"/>
      <w:lvlText w:val="%5."/>
      <w:lvlJc w:val="left"/>
      <w:pPr>
        <w:ind w:left="3600" w:hanging="360"/>
      </w:pPr>
    </w:lvl>
    <w:lvl w:ilvl="5" w:tplc="99973575" w:tentative="1">
      <w:start w:val="1"/>
      <w:numFmt w:val="lowerRoman"/>
      <w:lvlText w:val="%6."/>
      <w:lvlJc w:val="right"/>
      <w:pPr>
        <w:ind w:left="4320" w:hanging="180"/>
      </w:pPr>
    </w:lvl>
    <w:lvl w:ilvl="6" w:tplc="99973575" w:tentative="1">
      <w:start w:val="1"/>
      <w:numFmt w:val="decimal"/>
      <w:lvlText w:val="%7."/>
      <w:lvlJc w:val="left"/>
      <w:pPr>
        <w:ind w:left="5040" w:hanging="360"/>
      </w:pPr>
    </w:lvl>
    <w:lvl w:ilvl="7" w:tplc="99973575" w:tentative="1">
      <w:start w:val="1"/>
      <w:numFmt w:val="lowerLetter"/>
      <w:lvlText w:val="%8."/>
      <w:lvlJc w:val="left"/>
      <w:pPr>
        <w:ind w:left="5760" w:hanging="360"/>
      </w:pPr>
    </w:lvl>
    <w:lvl w:ilvl="8" w:tplc="99973575" w:tentative="1">
      <w:start w:val="1"/>
      <w:numFmt w:val="lowerRoman"/>
      <w:lvlText w:val="%9."/>
      <w:lvlJc w:val="right"/>
      <w:pPr>
        <w:ind w:left="6480" w:hanging="180"/>
      </w:pPr>
    </w:lvl>
  </w:abstractNum>
  <w:abstractNum w:abstractNumId="87988405">
    <w:multiLevelType w:val="hybridMultilevel"/>
    <w:lvl w:ilvl="0" w:tplc="389136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988405">
    <w:abstractNumId w:val="87988405"/>
  </w:num>
  <w:num w:numId="87988406">
    <w:abstractNumId w:val="879884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